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93CC" w14:textId="35C018AC" w:rsidR="001E7458" w:rsidRPr="001E7458" w:rsidRDefault="001E7458">
      <w:pPr>
        <w:rPr>
          <w:rFonts w:ascii="Arial" w:hAnsi="Arial" w:cs="Arial"/>
          <w:sz w:val="22"/>
          <w:szCs w:val="22"/>
        </w:rPr>
      </w:pPr>
      <w:r w:rsidRPr="001E7458">
        <w:rPr>
          <w:rFonts w:ascii="Arial" w:hAnsi="Arial" w:cs="Arial"/>
          <w:color w:val="000000"/>
          <w:sz w:val="22"/>
          <w:szCs w:val="22"/>
        </w:rPr>
        <w:t>CITING THE CTSA GRANT: To acknowledge the parent CTSA grant, please include the following: This publication/study/</w:t>
      </w:r>
      <w:proofErr w:type="spellStart"/>
      <w:r w:rsidRPr="001E7458">
        <w:rPr>
          <w:rFonts w:ascii="Arial" w:hAnsi="Arial" w:cs="Arial"/>
          <w:color w:val="000000"/>
          <w:sz w:val="22"/>
          <w:szCs w:val="22"/>
        </w:rPr>
        <w:t>etc</w:t>
      </w:r>
      <w:proofErr w:type="spellEnd"/>
      <w:r w:rsidRPr="001E7458">
        <w:rPr>
          <w:rFonts w:ascii="Arial" w:hAnsi="Arial" w:cs="Arial"/>
          <w:color w:val="000000"/>
          <w:sz w:val="22"/>
          <w:szCs w:val="22"/>
        </w:rPr>
        <w:t xml:space="preserve"> was supported in part by the CTSA Grant UM1 TR004400 from the National Center for Advancing Translational Sciences (NCATS), a component of the National Institutes of Health (NIH). For TL1 trainees, the award number is T32 TR004537, and for KL2 junior faculty career awardees it is K12 TR004411.</w:t>
      </w:r>
    </w:p>
    <w:p w14:paraId="1CD23718" w14:textId="77777777" w:rsidR="001E7458" w:rsidRDefault="001E7458">
      <w:pPr>
        <w:rPr>
          <w:rFonts w:ascii="Arial" w:hAnsi="Arial" w:cs="Arial"/>
          <w:sz w:val="22"/>
          <w:szCs w:val="22"/>
        </w:rPr>
      </w:pPr>
    </w:p>
    <w:p w14:paraId="2230F701" w14:textId="77777777" w:rsidR="001E7458" w:rsidRDefault="001E7458">
      <w:pPr>
        <w:rPr>
          <w:rFonts w:ascii="Arial" w:hAnsi="Arial" w:cs="Arial"/>
          <w:sz w:val="22"/>
          <w:szCs w:val="22"/>
        </w:rPr>
      </w:pPr>
    </w:p>
    <w:p w14:paraId="0115CCE5" w14:textId="4A11A698" w:rsidR="00FD7DC9" w:rsidRPr="0055551C" w:rsidRDefault="00D15203">
      <w:pPr>
        <w:rPr>
          <w:rFonts w:ascii="Arial" w:hAnsi="Arial" w:cs="Arial"/>
          <w:sz w:val="22"/>
          <w:szCs w:val="22"/>
        </w:rPr>
      </w:pPr>
      <w:r w:rsidRPr="0055551C">
        <w:rPr>
          <w:rFonts w:ascii="Arial" w:hAnsi="Arial" w:cs="Arial"/>
          <w:sz w:val="22"/>
          <w:szCs w:val="22"/>
        </w:rPr>
        <w:t>C</w:t>
      </w:r>
      <w:r w:rsidR="00140D22" w:rsidRPr="0055551C">
        <w:rPr>
          <w:rFonts w:ascii="Arial" w:hAnsi="Arial" w:cs="Arial"/>
          <w:sz w:val="22"/>
          <w:szCs w:val="22"/>
        </w:rPr>
        <w:t>linical Research Centers</w:t>
      </w:r>
      <w:r w:rsidR="0055551C" w:rsidRPr="0055551C">
        <w:rPr>
          <w:rFonts w:ascii="Arial" w:hAnsi="Arial" w:cs="Arial"/>
          <w:sz w:val="22"/>
          <w:szCs w:val="22"/>
        </w:rPr>
        <w:t xml:space="preserve"> Resources</w:t>
      </w:r>
      <w:r w:rsidRPr="0055551C">
        <w:rPr>
          <w:rFonts w:ascii="Arial" w:hAnsi="Arial" w:cs="Arial"/>
          <w:sz w:val="22"/>
          <w:szCs w:val="22"/>
        </w:rPr>
        <w:t xml:space="preserve"> 202</w:t>
      </w:r>
      <w:r w:rsidR="00D47014">
        <w:rPr>
          <w:rFonts w:ascii="Arial" w:hAnsi="Arial" w:cs="Arial"/>
          <w:sz w:val="22"/>
          <w:szCs w:val="22"/>
        </w:rPr>
        <w:t>3</w:t>
      </w:r>
    </w:p>
    <w:p w14:paraId="4EA1B43A" w14:textId="2C8BE7CB" w:rsidR="00D15203" w:rsidRPr="0055551C" w:rsidRDefault="00D15203">
      <w:pPr>
        <w:rPr>
          <w:rFonts w:ascii="Arial" w:hAnsi="Arial" w:cs="Arial"/>
          <w:sz w:val="22"/>
          <w:szCs w:val="22"/>
        </w:rPr>
      </w:pPr>
    </w:p>
    <w:p w14:paraId="2B4AE4A5" w14:textId="7CB5453C" w:rsidR="0055551C" w:rsidRPr="0055551C" w:rsidRDefault="0055551C">
      <w:pPr>
        <w:rPr>
          <w:rFonts w:ascii="Arial" w:hAnsi="Arial" w:cs="Arial"/>
          <w:sz w:val="22"/>
          <w:szCs w:val="22"/>
        </w:rPr>
      </w:pPr>
      <w:r w:rsidRPr="0055551C">
        <w:rPr>
          <w:rFonts w:ascii="Arial" w:hAnsi="Arial" w:cs="Arial"/>
          <w:sz w:val="22"/>
          <w:szCs w:val="22"/>
        </w:rPr>
        <w:t>The Clinical Research Center Units (CRC) support protocols in epidemiology, genetics, general medicine, neurology, women’s health, pediatrics, psychiatry/behavioral sciences, infectious diseases and surgery. The CRC is located on both the Albert Einstein College of Medicine Campus (Van Etten Building, 4</w:t>
      </w:r>
      <w:r w:rsidRPr="0055551C">
        <w:rPr>
          <w:rFonts w:ascii="Arial" w:hAnsi="Arial" w:cs="Arial"/>
          <w:sz w:val="22"/>
          <w:szCs w:val="22"/>
          <w:vertAlign w:val="superscript"/>
        </w:rPr>
        <w:t>th</w:t>
      </w:r>
      <w:r w:rsidRPr="0055551C">
        <w:rPr>
          <w:rFonts w:ascii="Arial" w:hAnsi="Arial" w:cs="Arial"/>
          <w:sz w:val="22"/>
          <w:szCs w:val="22"/>
        </w:rPr>
        <w:t xml:space="preserve"> Floor B Wing) and Montefiore Medical Center Campus (Moses Research </w:t>
      </w:r>
      <w:r w:rsidR="00672901" w:rsidRPr="0055551C">
        <w:rPr>
          <w:rFonts w:ascii="Arial" w:hAnsi="Arial" w:cs="Arial"/>
          <w:sz w:val="22"/>
          <w:szCs w:val="22"/>
        </w:rPr>
        <w:t>Pavilion</w:t>
      </w:r>
      <w:r w:rsidRPr="0055551C">
        <w:rPr>
          <w:rFonts w:ascii="Arial" w:hAnsi="Arial" w:cs="Arial"/>
          <w:sz w:val="22"/>
          <w:szCs w:val="22"/>
        </w:rPr>
        <w:t>, 4</w:t>
      </w:r>
      <w:r w:rsidRPr="0055551C">
        <w:rPr>
          <w:rFonts w:ascii="Arial" w:hAnsi="Arial" w:cs="Arial"/>
          <w:sz w:val="22"/>
          <w:szCs w:val="22"/>
          <w:vertAlign w:val="superscript"/>
        </w:rPr>
        <w:t>th</w:t>
      </w:r>
      <w:r w:rsidRPr="0055551C">
        <w:rPr>
          <w:rFonts w:ascii="Arial" w:hAnsi="Arial" w:cs="Arial"/>
          <w:sz w:val="22"/>
          <w:szCs w:val="22"/>
        </w:rPr>
        <w:t xml:space="preserve"> Floor) and support ~4500 out-patient visits annually, intensive procedures, and first-in-human research. The CRC features</w:t>
      </w:r>
      <w:r w:rsidR="00D15203" w:rsidRPr="0055551C">
        <w:rPr>
          <w:rFonts w:ascii="Arial" w:hAnsi="Arial" w:cs="Arial"/>
          <w:sz w:val="22"/>
          <w:szCs w:val="22"/>
        </w:rPr>
        <w:t xml:space="preserve"> 6 exam rooms; a procedure suite for intensive protocols (insulin clamp studies, infusions, calorimetry, exercise studies, etc.), a laboratory for specimen processing and biomarker studies, staff offices, a conference room, and a full kitchen to accommodate nutrition and diabetes studies. </w:t>
      </w:r>
    </w:p>
    <w:p w14:paraId="40EFF7A8" w14:textId="77777777" w:rsidR="0055551C" w:rsidRPr="0055551C" w:rsidRDefault="0055551C">
      <w:pPr>
        <w:rPr>
          <w:rFonts w:ascii="Arial" w:hAnsi="Arial" w:cs="Arial"/>
          <w:sz w:val="22"/>
          <w:szCs w:val="22"/>
        </w:rPr>
      </w:pPr>
    </w:p>
    <w:p w14:paraId="522D09FD" w14:textId="77777777" w:rsidR="0055551C" w:rsidRPr="0055551C" w:rsidRDefault="0055551C" w:rsidP="0055551C">
      <w:pPr>
        <w:rPr>
          <w:rFonts w:ascii="Arial" w:hAnsi="Arial" w:cs="Arial"/>
          <w:sz w:val="22"/>
          <w:szCs w:val="22"/>
        </w:rPr>
      </w:pPr>
      <w:r w:rsidRPr="0055551C">
        <w:rPr>
          <w:rFonts w:ascii="Arial" w:hAnsi="Arial" w:cs="Arial"/>
          <w:sz w:val="22"/>
          <w:szCs w:val="22"/>
        </w:rPr>
        <w:t>Resources available include:</w:t>
      </w:r>
    </w:p>
    <w:p w14:paraId="73E76DC7" w14:textId="77777777" w:rsidR="0055551C" w:rsidRPr="0055551C" w:rsidRDefault="0055551C" w:rsidP="0055551C">
      <w:pPr>
        <w:pStyle w:val="ListParagraph"/>
        <w:numPr>
          <w:ilvl w:val="0"/>
          <w:numId w:val="1"/>
        </w:numPr>
        <w:rPr>
          <w:rFonts w:ascii="Arial" w:hAnsi="Arial" w:cs="Arial"/>
          <w:sz w:val="22"/>
          <w:szCs w:val="22"/>
        </w:rPr>
      </w:pPr>
      <w:r w:rsidRPr="0055551C">
        <w:rPr>
          <w:rFonts w:ascii="Arial" w:hAnsi="Arial" w:cs="Arial"/>
          <w:sz w:val="22"/>
          <w:szCs w:val="22"/>
        </w:rPr>
        <w:t xml:space="preserve">Skilled nursing and support staff for adult and pediatric studies </w:t>
      </w:r>
    </w:p>
    <w:p w14:paraId="5B5DCA40" w14:textId="77777777" w:rsidR="0055551C" w:rsidRPr="0055551C" w:rsidRDefault="0055551C" w:rsidP="0055551C">
      <w:pPr>
        <w:pStyle w:val="ListParagraph"/>
        <w:numPr>
          <w:ilvl w:val="0"/>
          <w:numId w:val="1"/>
        </w:numPr>
        <w:rPr>
          <w:rFonts w:ascii="Arial" w:hAnsi="Arial" w:cs="Arial"/>
          <w:sz w:val="22"/>
          <w:szCs w:val="22"/>
        </w:rPr>
      </w:pPr>
      <w:r w:rsidRPr="0055551C">
        <w:rPr>
          <w:rFonts w:ascii="Arial" w:hAnsi="Arial" w:cs="Arial"/>
          <w:sz w:val="22"/>
          <w:szCs w:val="22"/>
        </w:rPr>
        <w:t xml:space="preserve">A procedure suite for intensive protocols (insulin clamp studies, infusions and PK studies, muscle biopsies, calorimetry, exercise studies, etc.) </w:t>
      </w:r>
    </w:p>
    <w:p w14:paraId="06CFCE56" w14:textId="77777777" w:rsidR="0055551C" w:rsidRPr="0055551C" w:rsidRDefault="0055551C" w:rsidP="0055551C">
      <w:pPr>
        <w:pStyle w:val="ListParagraph"/>
        <w:numPr>
          <w:ilvl w:val="0"/>
          <w:numId w:val="1"/>
        </w:numPr>
        <w:rPr>
          <w:rFonts w:ascii="Arial" w:hAnsi="Arial" w:cs="Arial"/>
          <w:sz w:val="22"/>
          <w:szCs w:val="22"/>
        </w:rPr>
      </w:pPr>
      <w:r w:rsidRPr="0055551C">
        <w:rPr>
          <w:rFonts w:ascii="Arial" w:hAnsi="Arial" w:cs="Arial"/>
          <w:sz w:val="22"/>
          <w:szCs w:val="22"/>
        </w:rPr>
        <w:t xml:space="preserve">Well-equipped examination and consultation rooms for physical exams, intensive procedures, private interviews, and most types of data collection </w:t>
      </w:r>
    </w:p>
    <w:p w14:paraId="311E8C14" w14:textId="77777777" w:rsidR="0055551C" w:rsidRPr="0055551C" w:rsidRDefault="0055551C" w:rsidP="0055551C">
      <w:pPr>
        <w:pStyle w:val="ListParagraph"/>
        <w:numPr>
          <w:ilvl w:val="0"/>
          <w:numId w:val="1"/>
        </w:numPr>
        <w:rPr>
          <w:rFonts w:ascii="Arial" w:hAnsi="Arial" w:cs="Arial"/>
          <w:sz w:val="22"/>
          <w:szCs w:val="22"/>
        </w:rPr>
      </w:pPr>
      <w:r w:rsidRPr="0055551C">
        <w:rPr>
          <w:rFonts w:ascii="Arial" w:hAnsi="Arial" w:cs="Arial"/>
          <w:sz w:val="22"/>
          <w:szCs w:val="22"/>
        </w:rPr>
        <w:t xml:space="preserve">Laboratory space on premises for sample processing, transport to Pathology, or shipping samples to outside laboratories. </w:t>
      </w:r>
    </w:p>
    <w:p w14:paraId="7040F5BF" w14:textId="5CC819D3" w:rsidR="0055551C" w:rsidRPr="0055551C" w:rsidRDefault="0055551C" w:rsidP="0055551C">
      <w:pPr>
        <w:pStyle w:val="ListParagraph"/>
        <w:numPr>
          <w:ilvl w:val="0"/>
          <w:numId w:val="1"/>
        </w:numPr>
        <w:rPr>
          <w:rFonts w:ascii="Arial" w:hAnsi="Arial" w:cs="Arial"/>
          <w:sz w:val="22"/>
          <w:szCs w:val="22"/>
        </w:rPr>
      </w:pPr>
      <w:r w:rsidRPr="0055551C">
        <w:rPr>
          <w:rFonts w:ascii="Arial" w:hAnsi="Arial" w:cs="Arial"/>
          <w:sz w:val="22"/>
          <w:szCs w:val="22"/>
        </w:rPr>
        <w:t>A full kitchen to accommodate nutrition and diabetes studies, staff offices, and a conference room</w:t>
      </w:r>
    </w:p>
    <w:p w14:paraId="24482AE4" w14:textId="77777777" w:rsidR="00D15203" w:rsidRPr="0055551C" w:rsidRDefault="00D15203" w:rsidP="00D15203">
      <w:pPr>
        <w:rPr>
          <w:rFonts w:ascii="Arial" w:hAnsi="Arial" w:cs="Arial"/>
          <w:sz w:val="22"/>
          <w:szCs w:val="22"/>
        </w:rPr>
      </w:pPr>
    </w:p>
    <w:p w14:paraId="7FA22DF0" w14:textId="7969335B" w:rsidR="00D15203" w:rsidRPr="0055551C" w:rsidRDefault="00D15203" w:rsidP="00D15203">
      <w:pPr>
        <w:rPr>
          <w:rFonts w:ascii="Arial" w:hAnsi="Arial" w:cs="Arial"/>
          <w:sz w:val="22"/>
          <w:szCs w:val="22"/>
        </w:rPr>
      </w:pPr>
      <w:r w:rsidRPr="0055551C">
        <w:rPr>
          <w:rFonts w:ascii="Arial" w:hAnsi="Arial" w:cs="Arial"/>
          <w:sz w:val="22"/>
          <w:szCs w:val="22"/>
        </w:rPr>
        <w:t xml:space="preserve">The </w:t>
      </w:r>
      <w:r w:rsidR="0055551C" w:rsidRPr="0055551C">
        <w:rPr>
          <w:rFonts w:ascii="Arial" w:hAnsi="Arial" w:cs="Arial"/>
          <w:sz w:val="22"/>
          <w:szCs w:val="22"/>
        </w:rPr>
        <w:t>CRC</w:t>
      </w:r>
      <w:r w:rsidRPr="0055551C">
        <w:rPr>
          <w:rFonts w:ascii="Arial" w:hAnsi="Arial" w:cs="Arial"/>
          <w:sz w:val="22"/>
          <w:szCs w:val="22"/>
        </w:rPr>
        <w:t xml:space="preserve"> at Einstein and Montefiore continue to serve adult and pediatric patient-oriented research, including first-in-human and early phase NIH and industry-supported clinical and behavioral studies. In total, the units serve ~80 active protocols with ~2800 annual patient encounters. The support for clinical studies spans several NIH Institutes, including NIA, NICHD, NIAID, NHLBI, NIDA and NIDDK. Our staff and space provide support for studies of diseases highly prevalent in the Bronx, including autism, asthma, diabetes, HIV, and sickle cell disease. Dr. Matthew Abramowitz </w:t>
      </w:r>
      <w:r w:rsidR="00127AB0">
        <w:rPr>
          <w:rFonts w:ascii="Arial" w:hAnsi="Arial" w:cs="Arial"/>
          <w:sz w:val="22"/>
          <w:szCs w:val="22"/>
        </w:rPr>
        <w:t>serves as the Director of the Clinical Research Center.</w:t>
      </w:r>
      <w:r w:rsidRPr="0055551C">
        <w:rPr>
          <w:rFonts w:ascii="Arial" w:hAnsi="Arial" w:cs="Arial"/>
          <w:sz w:val="22"/>
          <w:szCs w:val="22"/>
        </w:rPr>
        <w:t xml:space="preserve"> </w:t>
      </w:r>
    </w:p>
    <w:p w14:paraId="0BC94A79" w14:textId="77777777" w:rsidR="00D15203" w:rsidRPr="0055551C" w:rsidRDefault="00D15203" w:rsidP="00D15203">
      <w:pPr>
        <w:rPr>
          <w:rFonts w:ascii="Arial" w:hAnsi="Arial" w:cs="Arial"/>
          <w:sz w:val="22"/>
          <w:szCs w:val="22"/>
        </w:rPr>
      </w:pPr>
    </w:p>
    <w:p w14:paraId="443AC837" w14:textId="1CA99A26" w:rsidR="00D15203" w:rsidRPr="0055551C" w:rsidRDefault="00D15203" w:rsidP="00D15203">
      <w:pPr>
        <w:rPr>
          <w:rFonts w:ascii="Arial" w:hAnsi="Arial" w:cs="Arial"/>
          <w:sz w:val="22"/>
          <w:szCs w:val="22"/>
        </w:rPr>
      </w:pPr>
      <w:r w:rsidRPr="0055551C">
        <w:rPr>
          <w:rFonts w:ascii="Arial" w:hAnsi="Arial" w:cs="Arial"/>
          <w:sz w:val="22"/>
          <w:szCs w:val="22"/>
        </w:rPr>
        <w:t>The center is continuing to expand health outcomes research in several therapeutic areas, including pain and addiction. A multi-disciplinary team of investigators at Einstein and Montefiore led by Dr. Richard Lipton MD, Vice Chair of Neurology and Director of Montefiore Headache Center, has received NIH/NINDS funding from the HEAL (Helping to End Addiction Long-term) Initiative to establish the Greater New York Clinical Center (GNYCC) Early Phase Pain Investigation Clinical Network (EPPIC-Net). The GNYCC was established in collaboration with New York University School of Medicine CTSA and is focused on acute and chronic pain. The GNYCC will provide expertise and resources to perform Phase 2 clinical trials, phenotyping, and biomarker studies that will enable customized treatments. The cross CTSA collaborative team includes investigators with expertise in neurology, neurosurgery, anesthesia, emergency medicine, and addiction.</w:t>
      </w:r>
    </w:p>
    <w:p w14:paraId="0E481E9B" w14:textId="77777777" w:rsidR="00D15203" w:rsidRPr="0055551C" w:rsidRDefault="00D15203">
      <w:pPr>
        <w:rPr>
          <w:rFonts w:ascii="Arial" w:hAnsi="Arial" w:cs="Arial"/>
          <w:sz w:val="22"/>
          <w:szCs w:val="22"/>
        </w:rPr>
      </w:pPr>
    </w:p>
    <w:sectPr w:rsidR="00D15203" w:rsidRPr="0055551C" w:rsidSect="00D152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4042B"/>
    <w:multiLevelType w:val="hybridMultilevel"/>
    <w:tmpl w:val="14E8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03"/>
    <w:rsid w:val="00113E90"/>
    <w:rsid w:val="00127AB0"/>
    <w:rsid w:val="00140D22"/>
    <w:rsid w:val="001E7458"/>
    <w:rsid w:val="0055551C"/>
    <w:rsid w:val="00672901"/>
    <w:rsid w:val="008D7FCD"/>
    <w:rsid w:val="00D15203"/>
    <w:rsid w:val="00D47014"/>
    <w:rsid w:val="00FD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C934"/>
  <w15:chartTrackingRefBased/>
  <w15:docId w15:val="{DA7BD067-7E77-1543-B812-CE815928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8108">
      <w:bodyDiv w:val="1"/>
      <w:marLeft w:val="0"/>
      <w:marRight w:val="0"/>
      <w:marTop w:val="0"/>
      <w:marBottom w:val="0"/>
      <w:divBdr>
        <w:top w:val="none" w:sz="0" w:space="0" w:color="auto"/>
        <w:left w:val="none" w:sz="0" w:space="0" w:color="auto"/>
        <w:bottom w:val="none" w:sz="0" w:space="0" w:color="auto"/>
        <w:right w:val="none" w:sz="0" w:space="0" w:color="auto"/>
      </w:divBdr>
    </w:div>
    <w:div w:id="550847746">
      <w:bodyDiv w:val="1"/>
      <w:marLeft w:val="0"/>
      <w:marRight w:val="0"/>
      <w:marTop w:val="0"/>
      <w:marBottom w:val="0"/>
      <w:divBdr>
        <w:top w:val="none" w:sz="0" w:space="0" w:color="auto"/>
        <w:left w:val="none" w:sz="0" w:space="0" w:color="auto"/>
        <w:bottom w:val="none" w:sz="0" w:space="0" w:color="auto"/>
        <w:right w:val="none" w:sz="0" w:space="0" w:color="auto"/>
      </w:divBdr>
    </w:div>
    <w:div w:id="1156797732">
      <w:bodyDiv w:val="1"/>
      <w:marLeft w:val="0"/>
      <w:marRight w:val="0"/>
      <w:marTop w:val="0"/>
      <w:marBottom w:val="0"/>
      <w:divBdr>
        <w:top w:val="none" w:sz="0" w:space="0" w:color="auto"/>
        <w:left w:val="none" w:sz="0" w:space="0" w:color="auto"/>
        <w:bottom w:val="none" w:sz="0" w:space="0" w:color="auto"/>
        <w:right w:val="none" w:sz="0" w:space="0" w:color="auto"/>
      </w:divBdr>
    </w:div>
    <w:div w:id="20169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2921</Characters>
  <Application>Microsoft Office Word</Application>
  <DocSecurity>0</DocSecurity>
  <Lines>973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Sonya Rusanov</cp:lastModifiedBy>
  <cp:revision>2</cp:revision>
  <dcterms:created xsi:type="dcterms:W3CDTF">2023-10-03T19:35:00Z</dcterms:created>
  <dcterms:modified xsi:type="dcterms:W3CDTF">2023-10-03T19:35:00Z</dcterms:modified>
</cp:coreProperties>
</file>